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top w:w="45" w:type="dxa"/>
          <w:left w:w="45" w:type="dxa"/>
          <w:bottom w:w="45" w:type="dxa"/>
          <w:right w:w="45" w:type="dxa"/>
        </w:tblCellMar>
        <w:tblLook w:val="04A0" w:firstRow="1" w:lastRow="0" w:firstColumn="1" w:lastColumn="0" w:noHBand="0" w:noVBand="1"/>
      </w:tblPr>
      <w:tblGrid>
        <w:gridCol w:w="1169"/>
        <w:gridCol w:w="7227"/>
      </w:tblGrid>
      <w:tr w:rsidR="009E63EF" w:rsidRPr="009E63EF" w:rsidTr="009E63EF">
        <w:tc>
          <w:tcPr>
            <w:tcW w:w="0" w:type="auto"/>
            <w:hideMark/>
          </w:tcPr>
          <w:p w:rsidR="009E63EF" w:rsidRPr="009E63EF" w:rsidRDefault="009E63EF" w:rsidP="009E63EF">
            <w:pPr>
              <w:widowControl/>
              <w:spacing w:line="384" w:lineRule="auto"/>
              <w:rPr>
                <w:rFonts w:ascii="細明體" w:eastAsia="細明體" w:hAnsi="細明體" w:cs="新細明體"/>
                <w:kern w:val="0"/>
                <w:sz w:val="23"/>
                <w:szCs w:val="23"/>
              </w:rPr>
            </w:pPr>
            <w:bookmarkStart w:id="0" w:name="_GoBack"/>
            <w:bookmarkEnd w:id="0"/>
            <w:r w:rsidRPr="009E63EF">
              <w:rPr>
                <w:rFonts w:ascii="細明體" w:eastAsia="細明體" w:hAnsi="細明體" w:cs="新細明體" w:hint="eastAsia"/>
                <w:b/>
                <w:bCs/>
                <w:color w:val="003366"/>
                <w:kern w:val="0"/>
                <w:sz w:val="23"/>
                <w:szCs w:val="23"/>
              </w:rPr>
              <w:t>法規名稱：</w:t>
            </w:r>
          </w:p>
        </w:tc>
        <w:tc>
          <w:tcPr>
            <w:tcW w:w="0" w:type="auto"/>
            <w:hideMark/>
          </w:tcPr>
          <w:p w:rsidR="009E63EF" w:rsidRPr="009E63EF" w:rsidRDefault="009E63EF" w:rsidP="009E63EF">
            <w:pPr>
              <w:widowControl/>
              <w:spacing w:line="384" w:lineRule="auto"/>
              <w:rPr>
                <w:rFonts w:ascii="細明體" w:eastAsia="細明體" w:hAnsi="細明體" w:cs="新細明體"/>
                <w:kern w:val="0"/>
                <w:sz w:val="23"/>
                <w:szCs w:val="23"/>
              </w:rPr>
            </w:pPr>
            <w:r w:rsidRPr="009E63EF">
              <w:rPr>
                <w:rFonts w:ascii="細明體" w:eastAsia="細明體" w:hAnsi="細明體" w:cs="新細明體" w:hint="eastAsia"/>
                <w:kern w:val="0"/>
                <w:sz w:val="23"/>
                <w:szCs w:val="23"/>
              </w:rPr>
              <w:t>新北市政府所屬各機關學校零用金管理要點 (民國 104 年 11 月 02 日 修正)</w:t>
            </w:r>
          </w:p>
        </w:tc>
      </w:tr>
    </w:tbl>
    <w:p w:rsidR="009E63EF" w:rsidRPr="009E63EF" w:rsidRDefault="009E63EF" w:rsidP="009E63EF">
      <w:pPr>
        <w:widowControl/>
        <w:rPr>
          <w:rFonts w:ascii="細明體" w:eastAsia="細明體" w:hAnsi="細明體" w:cs="新細明體"/>
          <w:vanish/>
          <w:kern w:val="0"/>
          <w:sz w:val="23"/>
          <w:szCs w:val="23"/>
        </w:rPr>
      </w:pPr>
    </w:p>
    <w:tbl>
      <w:tblPr>
        <w:tblW w:w="0" w:type="auto"/>
        <w:tblCellMar>
          <w:top w:w="45" w:type="dxa"/>
          <w:left w:w="45" w:type="dxa"/>
          <w:bottom w:w="45" w:type="dxa"/>
          <w:right w:w="45" w:type="dxa"/>
        </w:tblCellMar>
        <w:tblLook w:val="04A0" w:firstRow="1" w:lastRow="0" w:firstColumn="1" w:lastColumn="0" w:noHBand="0" w:noVBand="1"/>
      </w:tblPr>
      <w:tblGrid>
        <w:gridCol w:w="895"/>
        <w:gridCol w:w="7450"/>
      </w:tblGrid>
      <w:tr w:rsidR="009E63EF" w:rsidRPr="009E63EF" w:rsidTr="009E63EF">
        <w:tc>
          <w:tcPr>
            <w:tcW w:w="0" w:type="auto"/>
            <w:noWrap/>
            <w:hideMark/>
          </w:tcPr>
          <w:p w:rsidR="009E63EF" w:rsidRPr="009E63EF" w:rsidRDefault="009E63EF" w:rsidP="009E63EF">
            <w:pPr>
              <w:widowControl/>
              <w:spacing w:line="384" w:lineRule="auto"/>
              <w:rPr>
                <w:rFonts w:ascii="細明體" w:eastAsia="細明體" w:hAnsi="細明體" w:cs="新細明體"/>
                <w:kern w:val="0"/>
                <w:sz w:val="23"/>
                <w:szCs w:val="23"/>
              </w:rPr>
            </w:pPr>
            <w:r w:rsidRPr="009E63EF">
              <w:rPr>
                <w:rFonts w:ascii="細明體" w:eastAsia="細明體" w:hAnsi="細明體" w:cs="新細明體" w:hint="eastAsia"/>
                <w:kern w:val="0"/>
                <w:sz w:val="23"/>
                <w:szCs w:val="23"/>
              </w:rPr>
              <w:t>   1   </w:t>
            </w:r>
          </w:p>
        </w:tc>
        <w:tc>
          <w:tcPr>
            <w:tcW w:w="0" w:type="auto"/>
            <w:hideMark/>
          </w:tcPr>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一、新北市政府（以下簡稱本府）為統一本府所屬各機關學校</w:t>
            </w:r>
            <w:proofErr w:type="gramStart"/>
            <w:r w:rsidRPr="009E63EF">
              <w:rPr>
                <w:rFonts w:ascii="細明體" w:eastAsia="細明體" w:hAnsi="細明體" w:cs="細明體" w:hint="eastAsia"/>
                <w:kern w:val="0"/>
                <w:sz w:val="23"/>
                <w:szCs w:val="23"/>
              </w:rPr>
              <w:t>（</w:t>
            </w:r>
            <w:proofErr w:type="gramEnd"/>
            <w:r w:rsidRPr="009E63EF">
              <w:rPr>
                <w:rFonts w:ascii="細明體" w:eastAsia="細明體" w:hAnsi="細明體" w:cs="細明體" w:hint="eastAsia"/>
                <w:kern w:val="0"/>
                <w:sz w:val="23"/>
                <w:szCs w:val="23"/>
              </w:rPr>
              <w:t>以下簡稱</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各機關</w:t>
            </w:r>
            <w:proofErr w:type="gramStart"/>
            <w:r w:rsidRPr="009E63EF">
              <w:rPr>
                <w:rFonts w:ascii="細明體" w:eastAsia="細明體" w:hAnsi="細明體" w:cs="細明體" w:hint="eastAsia"/>
                <w:kern w:val="0"/>
                <w:sz w:val="23"/>
                <w:szCs w:val="23"/>
              </w:rPr>
              <w:t>）</w:t>
            </w:r>
            <w:proofErr w:type="gramEnd"/>
            <w:r w:rsidRPr="009E63EF">
              <w:rPr>
                <w:rFonts w:ascii="細明體" w:eastAsia="細明體" w:hAnsi="細明體" w:cs="細明體" w:hint="eastAsia"/>
                <w:kern w:val="0"/>
                <w:sz w:val="23"/>
                <w:szCs w:val="23"/>
              </w:rPr>
              <w:t>零用金管理方式，訂定本要點。</w:t>
            </w:r>
          </w:p>
        </w:tc>
      </w:tr>
      <w:tr w:rsidR="009E63EF" w:rsidRPr="009E63EF" w:rsidTr="009E63EF">
        <w:tc>
          <w:tcPr>
            <w:tcW w:w="0" w:type="auto"/>
            <w:noWrap/>
            <w:hideMark/>
          </w:tcPr>
          <w:p w:rsidR="009E63EF" w:rsidRPr="009E63EF" w:rsidRDefault="009E63EF" w:rsidP="009E63EF">
            <w:pPr>
              <w:widowControl/>
              <w:spacing w:line="384" w:lineRule="auto"/>
              <w:rPr>
                <w:rFonts w:ascii="細明體" w:eastAsia="細明體" w:hAnsi="細明體" w:cs="新細明體"/>
                <w:kern w:val="0"/>
                <w:sz w:val="23"/>
                <w:szCs w:val="23"/>
              </w:rPr>
            </w:pPr>
            <w:r w:rsidRPr="009E63EF">
              <w:rPr>
                <w:rFonts w:ascii="細明體" w:eastAsia="細明體" w:hAnsi="細明體" w:cs="新細明體" w:hint="eastAsia"/>
                <w:kern w:val="0"/>
                <w:sz w:val="23"/>
                <w:szCs w:val="23"/>
              </w:rPr>
              <w:t>   2   </w:t>
            </w:r>
          </w:p>
        </w:tc>
        <w:tc>
          <w:tcPr>
            <w:tcW w:w="0" w:type="auto"/>
            <w:hideMark/>
          </w:tcPr>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二、各機關零用金之用途，以公務預算或附屬單位預算所列之零星支出及</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支用代辦經費之採購為限，不得移作他用。其每筆支付最高限額為新</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臺幣一萬元，但為辦理市庫收入退還及因實際需要事先報經機關首長</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核准者，不在此限。</w:t>
            </w:r>
          </w:p>
        </w:tc>
      </w:tr>
      <w:tr w:rsidR="009E63EF" w:rsidRPr="009E63EF" w:rsidTr="009E63EF">
        <w:tc>
          <w:tcPr>
            <w:tcW w:w="0" w:type="auto"/>
            <w:noWrap/>
            <w:hideMark/>
          </w:tcPr>
          <w:p w:rsidR="009E63EF" w:rsidRPr="009E63EF" w:rsidRDefault="009E63EF" w:rsidP="009E63EF">
            <w:pPr>
              <w:widowControl/>
              <w:spacing w:line="384" w:lineRule="auto"/>
              <w:rPr>
                <w:rFonts w:ascii="細明體" w:eastAsia="細明體" w:hAnsi="細明體" w:cs="新細明體"/>
                <w:kern w:val="0"/>
                <w:sz w:val="23"/>
                <w:szCs w:val="23"/>
              </w:rPr>
            </w:pPr>
            <w:r w:rsidRPr="009E63EF">
              <w:rPr>
                <w:rFonts w:ascii="細明體" w:eastAsia="細明體" w:hAnsi="細明體" w:cs="新細明體" w:hint="eastAsia"/>
                <w:kern w:val="0"/>
                <w:sz w:val="23"/>
                <w:szCs w:val="23"/>
              </w:rPr>
              <w:t>   3   </w:t>
            </w:r>
          </w:p>
        </w:tc>
        <w:tc>
          <w:tcPr>
            <w:tcW w:w="0" w:type="auto"/>
            <w:hideMark/>
          </w:tcPr>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三、各機關應於年度開始時，依其公務預算之歲出分配預算經常門之業務</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費或附屬單位預算之服務費、材料及用品費、租金、償債與利息之合</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計數除以八十計算零用金額度，並以百元為單位，百元以下四捨五入</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 零用金額</w:t>
            </w:r>
            <w:proofErr w:type="gramStart"/>
            <w:r w:rsidRPr="009E63EF">
              <w:rPr>
                <w:rFonts w:ascii="細明體" w:eastAsia="細明體" w:hAnsi="細明體" w:cs="細明體" w:hint="eastAsia"/>
                <w:kern w:val="0"/>
                <w:sz w:val="23"/>
                <w:szCs w:val="23"/>
              </w:rPr>
              <w:t>度逾新臺幣</w:t>
            </w:r>
            <w:proofErr w:type="gramEnd"/>
            <w:r w:rsidRPr="009E63EF">
              <w:rPr>
                <w:rFonts w:ascii="細明體" w:eastAsia="細明體" w:hAnsi="細明體" w:cs="細明體" w:hint="eastAsia"/>
                <w:kern w:val="0"/>
                <w:sz w:val="23"/>
                <w:szCs w:val="23"/>
              </w:rPr>
              <w:t>（以下同）三十萬元者，以三十萬元計，未達</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二萬元者，以二萬元計。但因業務特殊需要，得由各機關填具專案申</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w:t>
            </w:r>
            <w:proofErr w:type="gramStart"/>
            <w:r w:rsidRPr="009E63EF">
              <w:rPr>
                <w:rFonts w:ascii="細明體" w:eastAsia="細明體" w:hAnsi="細明體" w:cs="細明體" w:hint="eastAsia"/>
                <w:kern w:val="0"/>
                <w:sz w:val="23"/>
                <w:szCs w:val="23"/>
              </w:rPr>
              <w:t>請表</w:t>
            </w:r>
            <w:proofErr w:type="gramEnd"/>
            <w:r w:rsidRPr="009E63EF">
              <w:rPr>
                <w:rFonts w:ascii="細明體" w:eastAsia="細明體" w:hAnsi="細明體" w:cs="細明體" w:hint="eastAsia"/>
                <w:kern w:val="0"/>
                <w:sz w:val="23"/>
                <w:szCs w:val="23"/>
              </w:rPr>
              <w:t>（如附表）並敘明理由，由本府財政局（以下簡稱財政局）於不</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超過八十萬元額度內，專案核定提高零用金額度。</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依前項計算之零用金額度，各機關得分配予無單位預算之所屬單位。</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各機關依第一項計算之零用金額度低於一百零四年度核定數者，以一</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百零四年度核定數為零用金額度。</w:t>
            </w:r>
          </w:p>
        </w:tc>
      </w:tr>
      <w:tr w:rsidR="009E63EF" w:rsidRPr="009E63EF" w:rsidTr="009E63EF">
        <w:tc>
          <w:tcPr>
            <w:tcW w:w="0" w:type="auto"/>
            <w:noWrap/>
            <w:hideMark/>
          </w:tcPr>
          <w:p w:rsidR="009E63EF" w:rsidRPr="009E63EF" w:rsidRDefault="009E63EF" w:rsidP="009E63EF">
            <w:pPr>
              <w:widowControl/>
              <w:spacing w:line="384" w:lineRule="auto"/>
              <w:rPr>
                <w:rFonts w:ascii="細明體" w:eastAsia="細明體" w:hAnsi="細明體" w:cs="新細明體"/>
                <w:kern w:val="0"/>
                <w:sz w:val="23"/>
                <w:szCs w:val="23"/>
              </w:rPr>
            </w:pPr>
            <w:r w:rsidRPr="009E63EF">
              <w:rPr>
                <w:rFonts w:ascii="細明體" w:eastAsia="細明體" w:hAnsi="細明體" w:cs="新細明體" w:hint="eastAsia"/>
                <w:kern w:val="0"/>
                <w:sz w:val="23"/>
                <w:szCs w:val="23"/>
              </w:rPr>
              <w:t>   4   </w:t>
            </w:r>
          </w:p>
        </w:tc>
        <w:tc>
          <w:tcPr>
            <w:tcW w:w="0" w:type="auto"/>
            <w:hideMark/>
          </w:tcPr>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四、各機關應考量實際業務需求，於零用金額度內決定最適當數額，循環</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提領支用。</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lastRenderedPageBreak/>
              <w:t xml:space="preserve">    為利業務推行，新年度總預算尚未核定發布時，得依照前一年度零用</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金額度先行提領支用。</w:t>
            </w:r>
          </w:p>
        </w:tc>
      </w:tr>
      <w:tr w:rsidR="009E63EF" w:rsidRPr="009E63EF" w:rsidTr="009E63EF">
        <w:tc>
          <w:tcPr>
            <w:tcW w:w="0" w:type="auto"/>
            <w:noWrap/>
            <w:hideMark/>
          </w:tcPr>
          <w:p w:rsidR="009E63EF" w:rsidRPr="009E63EF" w:rsidRDefault="009E63EF" w:rsidP="009E63EF">
            <w:pPr>
              <w:widowControl/>
              <w:spacing w:line="384" w:lineRule="auto"/>
              <w:rPr>
                <w:rFonts w:ascii="細明體" w:eastAsia="細明體" w:hAnsi="細明體" w:cs="新細明體"/>
                <w:kern w:val="0"/>
                <w:sz w:val="23"/>
                <w:szCs w:val="23"/>
              </w:rPr>
            </w:pPr>
            <w:r w:rsidRPr="009E63EF">
              <w:rPr>
                <w:rFonts w:ascii="細明體" w:eastAsia="細明體" w:hAnsi="細明體" w:cs="新細明體" w:hint="eastAsia"/>
                <w:kern w:val="0"/>
                <w:sz w:val="23"/>
                <w:szCs w:val="23"/>
              </w:rPr>
              <w:lastRenderedPageBreak/>
              <w:t>   5   </w:t>
            </w:r>
          </w:p>
        </w:tc>
        <w:tc>
          <w:tcPr>
            <w:tcW w:w="0" w:type="auto"/>
            <w:hideMark/>
          </w:tcPr>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五、年度開始時，各機關在第三點計算零用金額度範圍內，於公務預算歲</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出分配預算經常門之業務費或附屬單位預算之服務費用科目項下簽具</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付款憑單循環申請，送由財政局庫款支付科辦理撥付，並應設置備查</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w:t>
            </w:r>
            <w:proofErr w:type="gramStart"/>
            <w:r w:rsidRPr="009E63EF">
              <w:rPr>
                <w:rFonts w:ascii="細明體" w:eastAsia="細明體" w:hAnsi="細明體" w:cs="細明體" w:hint="eastAsia"/>
                <w:kern w:val="0"/>
                <w:sz w:val="23"/>
                <w:szCs w:val="23"/>
              </w:rPr>
              <w:t>簿逐筆</w:t>
            </w:r>
            <w:proofErr w:type="gramEnd"/>
            <w:r w:rsidRPr="009E63EF">
              <w:rPr>
                <w:rFonts w:ascii="細明體" w:eastAsia="細明體" w:hAnsi="細明體" w:cs="細明體" w:hint="eastAsia"/>
                <w:kern w:val="0"/>
                <w:sz w:val="23"/>
                <w:szCs w:val="23"/>
              </w:rPr>
              <w:t>登記備查。</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依新北市</w:t>
            </w:r>
            <w:proofErr w:type="gramStart"/>
            <w:r w:rsidRPr="009E63EF">
              <w:rPr>
                <w:rFonts w:ascii="細明體" w:eastAsia="細明體" w:hAnsi="細明體" w:cs="細明體" w:hint="eastAsia"/>
                <w:kern w:val="0"/>
                <w:sz w:val="23"/>
                <w:szCs w:val="23"/>
              </w:rPr>
              <w:t>市</w:t>
            </w:r>
            <w:proofErr w:type="gramEnd"/>
            <w:r w:rsidRPr="009E63EF">
              <w:rPr>
                <w:rFonts w:ascii="細明體" w:eastAsia="細明體" w:hAnsi="細明體" w:cs="細明體" w:hint="eastAsia"/>
                <w:kern w:val="0"/>
                <w:sz w:val="23"/>
                <w:szCs w:val="23"/>
              </w:rPr>
              <w:t>庫收入退還作業程序於零用金額度內先行墊支者，則應開</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立收入退還書於原繳款科目下</w:t>
            </w:r>
            <w:proofErr w:type="gramStart"/>
            <w:r w:rsidRPr="009E63EF">
              <w:rPr>
                <w:rFonts w:ascii="細明體" w:eastAsia="細明體" w:hAnsi="細明體" w:cs="細明體" w:hint="eastAsia"/>
                <w:kern w:val="0"/>
                <w:sz w:val="23"/>
                <w:szCs w:val="23"/>
              </w:rPr>
              <w:t>撥補歸墊</w:t>
            </w:r>
            <w:proofErr w:type="gramEnd"/>
            <w:r w:rsidRPr="009E63EF">
              <w:rPr>
                <w:rFonts w:ascii="細明體" w:eastAsia="細明體" w:hAnsi="細明體" w:cs="細明體" w:hint="eastAsia"/>
                <w:kern w:val="0"/>
                <w:sz w:val="23"/>
                <w:szCs w:val="23"/>
              </w:rPr>
              <w:t>。</w:t>
            </w:r>
          </w:p>
        </w:tc>
      </w:tr>
      <w:tr w:rsidR="009E63EF" w:rsidRPr="009E63EF" w:rsidTr="009E63EF">
        <w:tc>
          <w:tcPr>
            <w:tcW w:w="0" w:type="auto"/>
            <w:noWrap/>
            <w:hideMark/>
          </w:tcPr>
          <w:p w:rsidR="009E63EF" w:rsidRPr="009E63EF" w:rsidRDefault="009E63EF" w:rsidP="009E63EF">
            <w:pPr>
              <w:widowControl/>
              <w:spacing w:line="384" w:lineRule="auto"/>
              <w:rPr>
                <w:rFonts w:ascii="細明體" w:eastAsia="細明體" w:hAnsi="細明體" w:cs="新細明體"/>
                <w:kern w:val="0"/>
                <w:sz w:val="23"/>
                <w:szCs w:val="23"/>
              </w:rPr>
            </w:pPr>
            <w:r w:rsidRPr="009E63EF">
              <w:rPr>
                <w:rFonts w:ascii="細明體" w:eastAsia="細明體" w:hAnsi="細明體" w:cs="新細明體" w:hint="eastAsia"/>
                <w:kern w:val="0"/>
                <w:sz w:val="23"/>
                <w:szCs w:val="23"/>
              </w:rPr>
              <w:t>   6   </w:t>
            </w:r>
          </w:p>
        </w:tc>
        <w:tc>
          <w:tcPr>
            <w:tcW w:w="0" w:type="auto"/>
            <w:hideMark/>
          </w:tcPr>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六、各機關得由零用</w:t>
            </w:r>
            <w:proofErr w:type="gramStart"/>
            <w:r w:rsidRPr="009E63EF">
              <w:rPr>
                <w:rFonts w:ascii="細明體" w:eastAsia="細明體" w:hAnsi="細明體" w:cs="細明體" w:hint="eastAsia"/>
                <w:kern w:val="0"/>
                <w:sz w:val="23"/>
                <w:szCs w:val="23"/>
              </w:rPr>
              <w:t>金專戶存提依</w:t>
            </w:r>
            <w:proofErr w:type="gramEnd"/>
            <w:r w:rsidRPr="009E63EF">
              <w:rPr>
                <w:rFonts w:ascii="細明體" w:eastAsia="細明體" w:hAnsi="細明體" w:cs="細明體" w:hint="eastAsia"/>
                <w:kern w:val="0"/>
                <w:sz w:val="23"/>
                <w:szCs w:val="23"/>
              </w:rPr>
              <w:t>規定得領回轉發之各項費款</w:t>
            </w:r>
            <w:proofErr w:type="gramStart"/>
            <w:r w:rsidRPr="009E63EF">
              <w:rPr>
                <w:rFonts w:ascii="細明體" w:eastAsia="細明體" w:hAnsi="細明體" w:cs="細明體" w:hint="eastAsia"/>
                <w:kern w:val="0"/>
                <w:sz w:val="23"/>
                <w:szCs w:val="23"/>
              </w:rPr>
              <w:t>（</w:t>
            </w:r>
            <w:proofErr w:type="gramEnd"/>
            <w:r w:rsidRPr="009E63EF">
              <w:rPr>
                <w:rFonts w:ascii="細明體" w:eastAsia="細明體" w:hAnsi="細明體" w:cs="細明體" w:hint="eastAsia"/>
                <w:kern w:val="0"/>
                <w:sz w:val="23"/>
                <w:szCs w:val="23"/>
              </w:rPr>
              <w:t>如短期員</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工薪津、子女教育補助費、學生公費、給養費等</w:t>
            </w:r>
            <w:proofErr w:type="gramStart"/>
            <w:r w:rsidRPr="009E63EF">
              <w:rPr>
                <w:rFonts w:ascii="細明體" w:eastAsia="細明體" w:hAnsi="細明體" w:cs="細明體" w:hint="eastAsia"/>
                <w:kern w:val="0"/>
                <w:sz w:val="23"/>
                <w:szCs w:val="23"/>
              </w:rPr>
              <w:t>）</w:t>
            </w:r>
            <w:proofErr w:type="gramEnd"/>
            <w:r w:rsidRPr="009E63EF">
              <w:rPr>
                <w:rFonts w:ascii="細明體" w:eastAsia="細明體" w:hAnsi="細明體" w:cs="細明體" w:hint="eastAsia"/>
                <w:kern w:val="0"/>
                <w:sz w:val="23"/>
                <w:szCs w:val="23"/>
              </w:rPr>
              <w:t>。</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前項</w:t>
            </w:r>
            <w:proofErr w:type="gramStart"/>
            <w:r w:rsidRPr="009E63EF">
              <w:rPr>
                <w:rFonts w:ascii="細明體" w:eastAsia="細明體" w:hAnsi="細明體" w:cs="細明體" w:hint="eastAsia"/>
                <w:kern w:val="0"/>
                <w:sz w:val="23"/>
                <w:szCs w:val="23"/>
              </w:rPr>
              <w:t>之費款</w:t>
            </w:r>
            <w:proofErr w:type="gramEnd"/>
            <w:r w:rsidRPr="009E63EF">
              <w:rPr>
                <w:rFonts w:ascii="細明體" w:eastAsia="細明體" w:hAnsi="細明體" w:cs="細明體" w:hint="eastAsia"/>
                <w:kern w:val="0"/>
                <w:sz w:val="23"/>
                <w:szCs w:val="23"/>
              </w:rPr>
              <w:t>，於簽具付款憑單時，應以各機關全銜為受款人並註明金</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融機構名稱、代號及帳號，由財政局採用通</w:t>
            </w:r>
            <w:proofErr w:type="gramStart"/>
            <w:r w:rsidRPr="009E63EF">
              <w:rPr>
                <w:rFonts w:ascii="細明體" w:eastAsia="細明體" w:hAnsi="細明體" w:cs="細明體" w:hint="eastAsia"/>
                <w:kern w:val="0"/>
                <w:sz w:val="23"/>
                <w:szCs w:val="23"/>
              </w:rPr>
              <w:t>匯</w:t>
            </w:r>
            <w:proofErr w:type="gramEnd"/>
            <w:r w:rsidRPr="009E63EF">
              <w:rPr>
                <w:rFonts w:ascii="細明體" w:eastAsia="細明體" w:hAnsi="細明體" w:cs="細明體" w:hint="eastAsia"/>
                <w:kern w:val="0"/>
                <w:sz w:val="23"/>
                <w:szCs w:val="23"/>
              </w:rPr>
              <w:t>或存帳方式</w:t>
            </w:r>
            <w:proofErr w:type="gramStart"/>
            <w:r w:rsidRPr="009E63EF">
              <w:rPr>
                <w:rFonts w:ascii="細明體" w:eastAsia="細明體" w:hAnsi="細明體" w:cs="細明體" w:hint="eastAsia"/>
                <w:kern w:val="0"/>
                <w:sz w:val="23"/>
                <w:szCs w:val="23"/>
              </w:rPr>
              <w:t>匯</w:t>
            </w:r>
            <w:proofErr w:type="gramEnd"/>
            <w:r w:rsidRPr="009E63EF">
              <w:rPr>
                <w:rFonts w:ascii="細明體" w:eastAsia="細明體" w:hAnsi="細明體" w:cs="細明體" w:hint="eastAsia"/>
                <w:kern w:val="0"/>
                <w:sz w:val="23"/>
                <w:szCs w:val="23"/>
              </w:rPr>
              <w:t>存入各該</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w:t>
            </w:r>
            <w:proofErr w:type="gramStart"/>
            <w:r w:rsidRPr="009E63EF">
              <w:rPr>
                <w:rFonts w:ascii="細明體" w:eastAsia="細明體" w:hAnsi="細明體" w:cs="細明體" w:hint="eastAsia"/>
                <w:kern w:val="0"/>
                <w:sz w:val="23"/>
                <w:szCs w:val="23"/>
              </w:rPr>
              <w:t>零用金專戶</w:t>
            </w:r>
            <w:proofErr w:type="gramEnd"/>
            <w:r w:rsidRPr="009E63EF">
              <w:rPr>
                <w:rFonts w:ascii="細明體" w:eastAsia="細明體" w:hAnsi="細明體" w:cs="細明體" w:hint="eastAsia"/>
                <w:kern w:val="0"/>
                <w:sz w:val="23"/>
                <w:szCs w:val="23"/>
              </w:rPr>
              <w:t>。</w:t>
            </w:r>
          </w:p>
        </w:tc>
      </w:tr>
      <w:tr w:rsidR="009E63EF" w:rsidRPr="009E63EF" w:rsidTr="009E63EF">
        <w:tc>
          <w:tcPr>
            <w:tcW w:w="0" w:type="auto"/>
            <w:noWrap/>
            <w:hideMark/>
          </w:tcPr>
          <w:p w:rsidR="009E63EF" w:rsidRPr="009E63EF" w:rsidRDefault="009E63EF" w:rsidP="009E63EF">
            <w:pPr>
              <w:widowControl/>
              <w:spacing w:line="384" w:lineRule="auto"/>
              <w:rPr>
                <w:rFonts w:ascii="細明體" w:eastAsia="細明體" w:hAnsi="細明體" w:cs="新細明體"/>
                <w:kern w:val="0"/>
                <w:sz w:val="23"/>
                <w:szCs w:val="23"/>
              </w:rPr>
            </w:pPr>
            <w:r w:rsidRPr="009E63EF">
              <w:rPr>
                <w:rFonts w:ascii="細明體" w:eastAsia="細明體" w:hAnsi="細明體" w:cs="新細明體" w:hint="eastAsia"/>
                <w:kern w:val="0"/>
                <w:sz w:val="23"/>
                <w:szCs w:val="23"/>
              </w:rPr>
              <w:t>   7   </w:t>
            </w:r>
          </w:p>
        </w:tc>
        <w:tc>
          <w:tcPr>
            <w:tcW w:w="0" w:type="auto"/>
            <w:hideMark/>
          </w:tcPr>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七、各機關領用之零用金在年度結束時，應依下列規定辦理：</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（一）已在零用金額度內支付之款項，如不屬於原領用之支出科目者，應</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由支用機關簽具轉帳憑單，於市庫帳</w:t>
            </w:r>
            <w:proofErr w:type="gramStart"/>
            <w:r w:rsidRPr="009E63EF">
              <w:rPr>
                <w:rFonts w:ascii="細明體" w:eastAsia="細明體" w:hAnsi="細明體" w:cs="細明體" w:hint="eastAsia"/>
                <w:kern w:val="0"/>
                <w:sz w:val="23"/>
                <w:szCs w:val="23"/>
              </w:rPr>
              <w:t>務</w:t>
            </w:r>
            <w:proofErr w:type="gramEnd"/>
            <w:r w:rsidRPr="009E63EF">
              <w:rPr>
                <w:rFonts w:ascii="細明體" w:eastAsia="細明體" w:hAnsi="細明體" w:cs="細明體" w:hint="eastAsia"/>
                <w:kern w:val="0"/>
                <w:sz w:val="23"/>
                <w:szCs w:val="23"/>
              </w:rPr>
              <w:t>整理期間內，送財政局庫款</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支付科轉帳。</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（二）各機關結存之零用金餘額，應於市庫帳</w:t>
            </w:r>
            <w:proofErr w:type="gramStart"/>
            <w:r w:rsidRPr="009E63EF">
              <w:rPr>
                <w:rFonts w:ascii="細明體" w:eastAsia="細明體" w:hAnsi="細明體" w:cs="細明體" w:hint="eastAsia"/>
                <w:kern w:val="0"/>
                <w:sz w:val="23"/>
                <w:szCs w:val="23"/>
              </w:rPr>
              <w:t>務</w:t>
            </w:r>
            <w:proofErr w:type="gramEnd"/>
            <w:r w:rsidRPr="009E63EF">
              <w:rPr>
                <w:rFonts w:ascii="細明體" w:eastAsia="細明體" w:hAnsi="細明體" w:cs="細明體" w:hint="eastAsia"/>
                <w:kern w:val="0"/>
                <w:sz w:val="23"/>
                <w:szCs w:val="23"/>
              </w:rPr>
              <w:t>整理期間內，填具支出收</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w:t>
            </w:r>
            <w:proofErr w:type="gramStart"/>
            <w:r w:rsidRPr="009E63EF">
              <w:rPr>
                <w:rFonts w:ascii="細明體" w:eastAsia="細明體" w:hAnsi="細明體" w:cs="細明體" w:hint="eastAsia"/>
                <w:kern w:val="0"/>
                <w:sz w:val="23"/>
                <w:szCs w:val="23"/>
              </w:rPr>
              <w:t>回書繳回</w:t>
            </w:r>
            <w:proofErr w:type="gramEnd"/>
            <w:r w:rsidRPr="009E63EF">
              <w:rPr>
                <w:rFonts w:ascii="細明體" w:eastAsia="細明體" w:hAnsi="細明體" w:cs="細明體" w:hint="eastAsia"/>
                <w:kern w:val="0"/>
                <w:sz w:val="23"/>
                <w:szCs w:val="23"/>
              </w:rPr>
              <w:t>市庫。</w:t>
            </w:r>
          </w:p>
        </w:tc>
      </w:tr>
      <w:tr w:rsidR="009E63EF" w:rsidRPr="009E63EF" w:rsidTr="009E63EF">
        <w:tc>
          <w:tcPr>
            <w:tcW w:w="0" w:type="auto"/>
            <w:noWrap/>
            <w:hideMark/>
          </w:tcPr>
          <w:p w:rsidR="009E63EF" w:rsidRPr="009E63EF" w:rsidRDefault="009E63EF" w:rsidP="009E63EF">
            <w:pPr>
              <w:widowControl/>
              <w:spacing w:line="384" w:lineRule="auto"/>
              <w:rPr>
                <w:rFonts w:ascii="細明體" w:eastAsia="細明體" w:hAnsi="細明體" w:cs="新細明體"/>
                <w:kern w:val="0"/>
                <w:sz w:val="23"/>
                <w:szCs w:val="23"/>
              </w:rPr>
            </w:pPr>
            <w:r w:rsidRPr="009E63EF">
              <w:rPr>
                <w:rFonts w:ascii="細明體" w:eastAsia="細明體" w:hAnsi="細明體" w:cs="新細明體" w:hint="eastAsia"/>
                <w:kern w:val="0"/>
                <w:sz w:val="23"/>
                <w:szCs w:val="23"/>
              </w:rPr>
              <w:t>   8   </w:t>
            </w:r>
          </w:p>
        </w:tc>
        <w:tc>
          <w:tcPr>
            <w:tcW w:w="0" w:type="auto"/>
            <w:hideMark/>
          </w:tcPr>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八、各機關零用金應由專人負責保管支用，並切實依照出納管理手冊及審</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lastRenderedPageBreak/>
              <w:t xml:space="preserve">    計法財務審計與核定財務責任之規定辦理，如有發生侵占挪用等情事</w:t>
            </w:r>
          </w:p>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 xml:space="preserve">    ，由各機關負責人員負賠償之責。</w:t>
            </w:r>
          </w:p>
        </w:tc>
      </w:tr>
      <w:tr w:rsidR="009E63EF" w:rsidRPr="009E63EF" w:rsidTr="009E63EF">
        <w:tc>
          <w:tcPr>
            <w:tcW w:w="0" w:type="auto"/>
            <w:noWrap/>
            <w:hideMark/>
          </w:tcPr>
          <w:p w:rsidR="009E63EF" w:rsidRPr="009E63EF" w:rsidRDefault="009E63EF" w:rsidP="009E63EF">
            <w:pPr>
              <w:widowControl/>
              <w:spacing w:line="384" w:lineRule="auto"/>
              <w:rPr>
                <w:rFonts w:ascii="細明體" w:eastAsia="細明體" w:hAnsi="細明體" w:cs="新細明體"/>
                <w:kern w:val="0"/>
                <w:sz w:val="23"/>
                <w:szCs w:val="23"/>
              </w:rPr>
            </w:pPr>
            <w:r w:rsidRPr="009E63EF">
              <w:rPr>
                <w:rFonts w:ascii="細明體" w:eastAsia="細明體" w:hAnsi="細明體" w:cs="新細明體" w:hint="eastAsia"/>
                <w:kern w:val="0"/>
                <w:sz w:val="23"/>
                <w:szCs w:val="23"/>
              </w:rPr>
              <w:lastRenderedPageBreak/>
              <w:t>   9   </w:t>
            </w:r>
          </w:p>
        </w:tc>
        <w:tc>
          <w:tcPr>
            <w:tcW w:w="0" w:type="auto"/>
            <w:hideMark/>
          </w:tcPr>
          <w:p w:rsidR="009E63EF" w:rsidRPr="009E63EF" w:rsidRDefault="009E63EF" w:rsidP="009E63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75" w:line="384" w:lineRule="auto"/>
              <w:textAlignment w:val="top"/>
              <w:rPr>
                <w:rFonts w:ascii="細明體" w:eastAsia="細明體" w:hAnsi="細明體" w:cs="細明體"/>
                <w:kern w:val="0"/>
                <w:sz w:val="23"/>
                <w:szCs w:val="23"/>
              </w:rPr>
            </w:pPr>
            <w:r w:rsidRPr="009E63EF">
              <w:rPr>
                <w:rFonts w:ascii="細明體" w:eastAsia="細明體" w:hAnsi="細明體" w:cs="細明體" w:hint="eastAsia"/>
                <w:kern w:val="0"/>
                <w:sz w:val="23"/>
                <w:szCs w:val="23"/>
              </w:rPr>
              <w:t>九、各機關零用金保管及支用情形，財政局得隨時派員查核之。</w:t>
            </w:r>
          </w:p>
        </w:tc>
      </w:tr>
    </w:tbl>
    <w:p w:rsidR="00E3084A" w:rsidRPr="009E63EF" w:rsidRDefault="00E3084A"/>
    <w:sectPr w:rsidR="00E3084A" w:rsidRPr="009E63EF">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17F"/>
    <w:rsid w:val="00374DE6"/>
    <w:rsid w:val="004B7A26"/>
    <w:rsid w:val="009E117F"/>
    <w:rsid w:val="009E63EF"/>
    <w:rsid w:val="00E3084A"/>
    <w:rsid w:val="00F508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527A9D-EDD8-4109-9E83-F1508E682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191334">
      <w:bodyDiv w:val="1"/>
      <w:marLeft w:val="150"/>
      <w:marRight w:val="15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196</Words>
  <Characters>1120</Characters>
  <Application>Microsoft Office Word</Application>
  <DocSecurity>0</DocSecurity>
  <Lines>9</Lines>
  <Paragraphs>2</Paragraphs>
  <ScaleCrop>false</ScaleCrop>
  <Company/>
  <LinksUpToDate>false</LinksUpToDate>
  <CharactersWithSpaces>1314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鐘文妤</dc:creator>
  <cp:lastModifiedBy>admin</cp:lastModifiedBy>
  <cp:revision>2</cp:revision>
  <dcterms:created xsi:type="dcterms:W3CDTF">2019-01-02T07:46:00Z</dcterms:created>
  <dcterms:modified xsi:type="dcterms:W3CDTF">2019-01-02T07:46:00Z</dcterms:modified>
</cp:coreProperties>
</file>